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7B3A3F" w:rsidRDefault="00092C69" w:rsidP="007B3A3F">
      <w:pPr>
        <w:tabs>
          <w:tab w:val="center" w:pos="4960"/>
          <w:tab w:val="left" w:pos="6015"/>
        </w:tabs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622B" wp14:editId="28A7D1AE">
                <wp:simplePos x="0" y="0"/>
                <wp:positionH relativeFrom="column">
                  <wp:posOffset>5071745</wp:posOffset>
                </wp:positionH>
                <wp:positionV relativeFrom="paragraph">
                  <wp:posOffset>85090</wp:posOffset>
                </wp:positionV>
                <wp:extent cx="1289685" cy="571500"/>
                <wp:effectExtent l="0" t="0" r="571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2F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092C69" w:rsidRPr="003C5141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9.35pt;margin-top:6.7pt;width:101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" fillcolor="white [3201]" stroked="f" strokeweight=".5pt">
                <v:textbox>
                  <w:txbxContent>
                    <w:p w:rsidR="00FA242F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  <w:p w:rsidR="00092C69" w:rsidRPr="003C5141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7B3A3F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C2D9E2F" wp14:editId="6D1A39D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141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B16C" wp14:editId="0D7247EA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</w:p>
    <w:p w:rsidR="00C35A6D" w:rsidRPr="00F61EBC" w:rsidRDefault="00C35A6D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35A6D" w:rsidRPr="00F61EBC" w:rsidRDefault="00C35A6D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61EB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61EB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61EBC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61EB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16"/>
          <w:szCs w:val="16"/>
          <w:lang w:eastAsia="en-US"/>
        </w:rPr>
      </w:pPr>
    </w:p>
    <w:tbl>
      <w:tblPr>
        <w:tblStyle w:val="af2"/>
        <w:tblpPr w:leftFromText="180" w:rightFromText="180" w:vertAnchor="text" w:horzAnchor="margin" w:tblpY="-11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652210" w:rsidRPr="007A6071" w:rsidTr="008D18BC">
        <w:trPr>
          <w:trHeight w:val="1184"/>
        </w:trPr>
        <w:tc>
          <w:tcPr>
            <w:tcW w:w="7621" w:type="dxa"/>
          </w:tcPr>
          <w:p w:rsidR="00652210" w:rsidRPr="00E83BB0" w:rsidRDefault="00652210" w:rsidP="008D18BC">
            <w:pPr>
              <w:rPr>
                <w:rFonts w:ascii="PT Astra Serif" w:hAnsi="PT Astra Seri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о</w:t>
            </w: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т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[</w:t>
            </w:r>
            <w:proofErr w:type="gramStart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Дата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документа]</w:t>
            </w:r>
          </w:p>
        </w:tc>
        <w:tc>
          <w:tcPr>
            <w:tcW w:w="2268" w:type="dxa"/>
          </w:tcPr>
          <w:p w:rsidR="00652210" w:rsidRPr="007A6071" w:rsidRDefault="00652210" w:rsidP="008D18B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</w:pP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№ [Номер документа]</w:t>
            </w:r>
          </w:p>
          <w:p w:rsidR="00652210" w:rsidRPr="007A6071" w:rsidRDefault="00652210" w:rsidP="008D18BC">
            <w:pPr>
              <w:ind w:left="705"/>
              <w:jc w:val="right"/>
              <w:rPr>
                <w:rFonts w:ascii="PT Astra Serif" w:hAnsi="PT Astra Serif"/>
                <w:sz w:val="28"/>
                <w:szCs w:val="26"/>
              </w:rPr>
            </w:pPr>
          </w:p>
        </w:tc>
      </w:tr>
    </w:tbl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>О внесении изменени</w:t>
      </w:r>
      <w:r w:rsidR="00CC45A1">
        <w:rPr>
          <w:rFonts w:ascii="PT Astra Serif" w:eastAsia="BatangChe" w:hAnsi="PT Astra Serif"/>
          <w:sz w:val="28"/>
          <w:szCs w:val="28"/>
        </w:rPr>
        <w:t>й</w:t>
      </w:r>
      <w:r w:rsidRPr="00D044C5">
        <w:rPr>
          <w:rFonts w:ascii="PT Astra Serif" w:eastAsia="BatangChe" w:hAnsi="PT Astra Serif"/>
          <w:sz w:val="28"/>
          <w:szCs w:val="28"/>
        </w:rPr>
        <w:t xml:space="preserve"> в постановление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 xml:space="preserve">администрации города Югорска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>
        <w:rPr>
          <w:rFonts w:ascii="PT Astra Serif" w:eastAsia="BatangChe" w:hAnsi="PT Astra Serif"/>
          <w:sz w:val="28"/>
          <w:szCs w:val="28"/>
        </w:rPr>
        <w:t>о</w:t>
      </w:r>
      <w:r w:rsidRPr="00D044C5">
        <w:rPr>
          <w:rFonts w:ascii="PT Astra Serif" w:eastAsia="BatangChe" w:hAnsi="PT Astra Serif"/>
          <w:sz w:val="28"/>
          <w:szCs w:val="28"/>
        </w:rPr>
        <w:t xml:space="preserve">т 23.01.2012 №99  «О порядке обеспечения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 xml:space="preserve">доступа к информации о деятельности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 xml:space="preserve">администрации города Югорска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 xml:space="preserve">и осуществления </w:t>
      </w:r>
      <w:proofErr w:type="gramStart"/>
      <w:r w:rsidRPr="00D044C5">
        <w:rPr>
          <w:rFonts w:ascii="PT Astra Serif" w:eastAsia="BatangChe" w:hAnsi="PT Astra Serif"/>
          <w:sz w:val="28"/>
          <w:szCs w:val="28"/>
        </w:rPr>
        <w:t>контроля за</w:t>
      </w:r>
      <w:proofErr w:type="gramEnd"/>
      <w:r w:rsidRPr="00D044C5">
        <w:rPr>
          <w:rFonts w:ascii="PT Astra Serif" w:eastAsia="BatangChe" w:hAnsi="PT Astra Serif"/>
          <w:sz w:val="28"/>
          <w:szCs w:val="28"/>
        </w:rPr>
        <w:t xml:space="preserve"> обеспечением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 xml:space="preserve">доступа к информации о деятельности </w:t>
      </w:r>
    </w:p>
    <w:p w:rsidR="005C4A10" w:rsidRPr="00D044C5" w:rsidRDefault="005C4A10" w:rsidP="005C4A10">
      <w:pPr>
        <w:jc w:val="both"/>
        <w:rPr>
          <w:rFonts w:ascii="PT Astra Serif" w:eastAsia="BatangChe" w:hAnsi="PT Astra Serif"/>
          <w:sz w:val="28"/>
          <w:szCs w:val="28"/>
        </w:rPr>
      </w:pPr>
      <w:r w:rsidRPr="00D044C5">
        <w:rPr>
          <w:rFonts w:ascii="PT Astra Serif" w:eastAsia="BatangChe" w:hAnsi="PT Astra Serif"/>
          <w:sz w:val="28"/>
          <w:szCs w:val="28"/>
        </w:rPr>
        <w:t>администрации города Югорска»</w:t>
      </w:r>
    </w:p>
    <w:p w:rsidR="00F61EBC" w:rsidRPr="006A0528" w:rsidRDefault="00F61EBC" w:rsidP="00F61EBC">
      <w:pPr>
        <w:rPr>
          <w:rFonts w:ascii="PT Astra Serif" w:hAnsi="PT Astra Serif"/>
          <w:sz w:val="26"/>
          <w:szCs w:val="26"/>
        </w:rPr>
      </w:pPr>
    </w:p>
    <w:p w:rsidR="00F61EBC" w:rsidRPr="008A6747" w:rsidRDefault="00F61EBC" w:rsidP="00F61EBC">
      <w:pPr>
        <w:rPr>
          <w:rFonts w:ascii="PT Astra Serif" w:hAnsi="PT Astra Serif"/>
          <w:sz w:val="26"/>
          <w:szCs w:val="26"/>
        </w:rPr>
      </w:pPr>
    </w:p>
    <w:p w:rsidR="005C4A10" w:rsidRPr="00C23BDC" w:rsidRDefault="005C4A10" w:rsidP="005C4A1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23BDC">
        <w:rPr>
          <w:rFonts w:ascii="PT Astra Serif" w:hAnsi="PT Astra Serif"/>
          <w:sz w:val="28"/>
          <w:szCs w:val="28"/>
        </w:rPr>
        <w:t>В соответствии  с Федеральным законом от 06.10.2003 N 131-ФЗ «Об общих принципах организации местного самоуправления в Российской Федерации», Законом Российской Федерации от 27.12.1991 N 2124-1 «О средствах массовой информации»:</w:t>
      </w:r>
    </w:p>
    <w:p w:rsidR="00B76781" w:rsidRPr="00CC45A1" w:rsidRDefault="005C4A10" w:rsidP="005C4A10">
      <w:pPr>
        <w:ind w:firstLine="567"/>
        <w:jc w:val="both"/>
        <w:rPr>
          <w:rFonts w:ascii="PT Astra Serif" w:eastAsia="BatangChe" w:hAnsi="PT Astra Serif"/>
          <w:sz w:val="28"/>
          <w:szCs w:val="28"/>
        </w:rPr>
      </w:pPr>
      <w:r w:rsidRPr="00C23BDC">
        <w:rPr>
          <w:rFonts w:ascii="PT Astra Serif" w:hAnsi="PT Astra Serif"/>
          <w:color w:val="000000"/>
          <w:sz w:val="28"/>
          <w:szCs w:val="28"/>
        </w:rPr>
        <w:t xml:space="preserve">1. Внести </w:t>
      </w:r>
      <w:r w:rsidR="00B76781">
        <w:rPr>
          <w:rFonts w:ascii="PT Astra Serif" w:hAnsi="PT Astra Serif"/>
          <w:color w:val="000000"/>
          <w:sz w:val="28"/>
          <w:szCs w:val="28"/>
        </w:rPr>
        <w:t>в постановление</w:t>
      </w:r>
      <w:r w:rsidRPr="00C23BDC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C23BDC">
        <w:rPr>
          <w:rFonts w:ascii="PT Astra Serif" w:hAnsi="PT Astra Serif"/>
          <w:sz w:val="28"/>
          <w:szCs w:val="28"/>
        </w:rPr>
        <w:t>администрации города Югорска о</w:t>
      </w:r>
      <w:r w:rsidRPr="00C23BDC">
        <w:rPr>
          <w:rFonts w:ascii="PT Astra Serif" w:eastAsia="BatangChe" w:hAnsi="PT Astra Serif"/>
          <w:sz w:val="28"/>
          <w:szCs w:val="28"/>
        </w:rPr>
        <w:t xml:space="preserve">т 23.01.2012 №99  «О порядке обеспечения доступа к информации о деятельности администрации города Югорска и осуществления </w:t>
      </w:r>
      <w:proofErr w:type="gramStart"/>
      <w:r w:rsidRPr="00C23BDC">
        <w:rPr>
          <w:rFonts w:ascii="PT Astra Serif" w:eastAsia="BatangChe" w:hAnsi="PT Astra Serif"/>
          <w:sz w:val="28"/>
          <w:szCs w:val="28"/>
        </w:rPr>
        <w:t>контроля за</w:t>
      </w:r>
      <w:proofErr w:type="gramEnd"/>
      <w:r w:rsidRPr="00C23BDC">
        <w:rPr>
          <w:rFonts w:ascii="PT Astra Serif" w:eastAsia="BatangChe" w:hAnsi="PT Astra Serif"/>
          <w:sz w:val="28"/>
          <w:szCs w:val="28"/>
        </w:rPr>
        <w:t xml:space="preserve"> обеспечением доступа к информации о деятельности администрации города Югорска» </w:t>
      </w:r>
      <w:r w:rsidR="00CC45A1">
        <w:rPr>
          <w:rFonts w:ascii="PT Astra Serif" w:eastAsia="BatangChe" w:hAnsi="PT Astra Serif"/>
          <w:sz w:val="28"/>
          <w:szCs w:val="28"/>
        </w:rPr>
        <w:t xml:space="preserve">(с изменениями от </w:t>
      </w:r>
      <w:hyperlink r:id="rId9" w:tooltip="постановление от 20.03.2023 0:00:00 №351-п Администрация г. Югорска&#10;&#10;О внесении изменения в постановление  администрации города Югорска  от 23.01.2012 № 99 " w:history="1">
        <w:r w:rsidR="00CC45A1" w:rsidRPr="00CC45A1">
          <w:rPr>
            <w:rFonts w:ascii="PT Astra Serif" w:eastAsia="BatangChe" w:hAnsi="PT Astra Serif"/>
            <w:sz w:val="28"/>
            <w:szCs w:val="28"/>
          </w:rPr>
          <w:t xml:space="preserve"> 20.03.2023</w:t>
        </w:r>
        <w:r w:rsidR="00CC45A1">
          <w:rPr>
            <w:rFonts w:ascii="PT Astra Serif" w:eastAsia="BatangChe" w:hAnsi="PT Astra Serif"/>
            <w:sz w:val="28"/>
            <w:szCs w:val="28"/>
          </w:rPr>
          <w:t xml:space="preserve"> </w:t>
        </w:r>
        <w:r w:rsidR="00CC45A1" w:rsidRPr="00CC45A1">
          <w:rPr>
            <w:rFonts w:ascii="PT Astra Serif" w:eastAsia="BatangChe" w:hAnsi="PT Astra Serif"/>
            <w:sz w:val="28"/>
            <w:szCs w:val="28"/>
          </w:rPr>
          <w:t>№ 351-п</w:t>
        </w:r>
      </w:hyperlink>
      <w:r w:rsidR="00CC45A1" w:rsidRPr="00CC45A1">
        <w:rPr>
          <w:rFonts w:ascii="PT Astra Serif" w:eastAsia="BatangChe" w:hAnsi="PT Astra Serif"/>
          <w:sz w:val="28"/>
          <w:szCs w:val="28"/>
        </w:rPr>
        <w:t xml:space="preserve">) </w:t>
      </w:r>
      <w:r w:rsidR="00B76781">
        <w:rPr>
          <w:rFonts w:ascii="PT Astra Serif" w:eastAsia="BatangChe" w:hAnsi="PT Astra Serif"/>
          <w:sz w:val="28"/>
          <w:szCs w:val="28"/>
        </w:rPr>
        <w:t xml:space="preserve">следующие </w:t>
      </w:r>
      <w:r w:rsidRPr="00CC45A1">
        <w:rPr>
          <w:rFonts w:ascii="PT Astra Serif" w:eastAsia="BatangChe" w:hAnsi="PT Astra Serif"/>
          <w:sz w:val="28"/>
          <w:szCs w:val="28"/>
        </w:rPr>
        <w:t>изменени</w:t>
      </w:r>
      <w:r w:rsidR="00B76781" w:rsidRPr="00CC45A1">
        <w:rPr>
          <w:rFonts w:ascii="PT Astra Serif" w:eastAsia="BatangChe" w:hAnsi="PT Astra Serif"/>
          <w:sz w:val="28"/>
          <w:szCs w:val="28"/>
        </w:rPr>
        <w:t>я:</w:t>
      </w:r>
    </w:p>
    <w:p w:rsidR="00B76781" w:rsidRDefault="00B76781" w:rsidP="005C4A1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C45A1">
        <w:rPr>
          <w:rFonts w:ascii="PT Astra Serif" w:eastAsia="BatangChe" w:hAnsi="PT Astra Serif"/>
          <w:sz w:val="28"/>
          <w:szCs w:val="28"/>
        </w:rPr>
        <w:t>1.1. Пункт 4 изложить в следующей</w:t>
      </w:r>
      <w:r>
        <w:rPr>
          <w:rFonts w:ascii="PT Astra Serif" w:hAnsi="PT Astra Serif"/>
          <w:sz w:val="28"/>
          <w:szCs w:val="28"/>
        </w:rPr>
        <w:t xml:space="preserve"> редакции:</w:t>
      </w:r>
    </w:p>
    <w:p w:rsidR="00B76781" w:rsidRDefault="00B76781" w:rsidP="005C4A10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 Определить управление внутренней политики и массовых коммуникаций администрации города Югорска (</w:t>
      </w:r>
      <w:proofErr w:type="spellStart"/>
      <w:r>
        <w:rPr>
          <w:rFonts w:ascii="PT Astra Serif" w:hAnsi="PT Astra Serif"/>
          <w:sz w:val="28"/>
          <w:szCs w:val="28"/>
        </w:rPr>
        <w:t>Манахова</w:t>
      </w:r>
      <w:proofErr w:type="spellEnd"/>
      <w:r>
        <w:rPr>
          <w:rFonts w:ascii="PT Astra Serif" w:hAnsi="PT Astra Serif"/>
          <w:sz w:val="28"/>
          <w:szCs w:val="28"/>
        </w:rPr>
        <w:t xml:space="preserve"> К.М.) </w:t>
      </w:r>
      <w:proofErr w:type="gramStart"/>
      <w:r>
        <w:rPr>
          <w:rFonts w:ascii="PT Astra Serif" w:hAnsi="PT Astra Serif"/>
          <w:sz w:val="28"/>
          <w:szCs w:val="28"/>
        </w:rPr>
        <w:t>ответственным</w:t>
      </w:r>
      <w:proofErr w:type="gramEnd"/>
      <w:r>
        <w:rPr>
          <w:rFonts w:ascii="PT Astra Serif" w:hAnsi="PT Astra Serif"/>
          <w:sz w:val="28"/>
          <w:szCs w:val="28"/>
        </w:rPr>
        <w:t xml:space="preserve"> за организацию обеспечения доступа к информации о деятельности администрации города Югорска.».</w:t>
      </w:r>
    </w:p>
    <w:p w:rsidR="00B76781" w:rsidRDefault="00B76781" w:rsidP="005C4A10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 1:</w:t>
      </w:r>
    </w:p>
    <w:p w:rsidR="00B76781" w:rsidRPr="00CC45A1" w:rsidRDefault="00763D72" w:rsidP="005C4A10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B76781">
        <w:rPr>
          <w:rFonts w:ascii="PT Astra Serif" w:hAnsi="PT Astra Serif"/>
          <w:sz w:val="28"/>
          <w:szCs w:val="28"/>
        </w:rPr>
        <w:t xml:space="preserve">.1. </w:t>
      </w:r>
      <w:r w:rsidR="00CC45A1">
        <w:rPr>
          <w:rFonts w:ascii="PT Astra Serif" w:hAnsi="PT Astra Serif"/>
          <w:sz w:val="28"/>
          <w:szCs w:val="28"/>
        </w:rPr>
        <w:t>В подпункте 3.2. раздела 3 слово «</w:t>
      </w:r>
      <w:proofErr w:type="spellStart"/>
      <w:r w:rsidR="00CC45A1" w:rsidRPr="00C23BDC">
        <w:rPr>
          <w:rFonts w:ascii="PT Astra Serif" w:hAnsi="PT Astra Serif"/>
          <w:sz w:val="28"/>
          <w:szCs w:val="28"/>
          <w:lang w:val="en-US"/>
        </w:rPr>
        <w:t>ugorkinfo</w:t>
      </w:r>
      <w:proofErr w:type="spellEnd"/>
      <w:r w:rsidR="00CC45A1" w:rsidRPr="00C23BDC">
        <w:rPr>
          <w:rFonts w:ascii="PT Astra Serif" w:hAnsi="PT Astra Serif"/>
          <w:sz w:val="28"/>
          <w:szCs w:val="28"/>
        </w:rPr>
        <w:t>.</w:t>
      </w:r>
      <w:proofErr w:type="spellStart"/>
      <w:r w:rsidR="00CC45A1" w:rsidRPr="00C23BDC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CC45A1">
        <w:rPr>
          <w:rFonts w:ascii="PT Astra Serif" w:hAnsi="PT Astra Serif"/>
          <w:sz w:val="28"/>
          <w:szCs w:val="28"/>
        </w:rPr>
        <w:t>» заменить словом «</w:t>
      </w:r>
      <w:proofErr w:type="spellStart"/>
      <w:r w:rsidR="00CC45A1" w:rsidRPr="00C23BDC">
        <w:rPr>
          <w:rFonts w:ascii="PT Astra Serif" w:hAnsi="PT Astra Serif"/>
          <w:sz w:val="28"/>
          <w:szCs w:val="28"/>
          <w:lang w:val="en-US"/>
        </w:rPr>
        <w:t>ugor</w:t>
      </w:r>
      <w:r w:rsidR="00CC45A1">
        <w:rPr>
          <w:rFonts w:ascii="PT Astra Serif" w:hAnsi="PT Astra Serif"/>
          <w:sz w:val="28"/>
          <w:szCs w:val="28"/>
          <w:lang w:val="en-US"/>
        </w:rPr>
        <w:t>s</w:t>
      </w:r>
      <w:r w:rsidR="00CC45A1" w:rsidRPr="00C23BDC">
        <w:rPr>
          <w:rFonts w:ascii="PT Astra Serif" w:hAnsi="PT Astra Serif"/>
          <w:sz w:val="28"/>
          <w:szCs w:val="28"/>
          <w:lang w:val="en-US"/>
        </w:rPr>
        <w:t>kinfo</w:t>
      </w:r>
      <w:proofErr w:type="spellEnd"/>
      <w:r w:rsidR="00CC45A1" w:rsidRPr="00C23BDC">
        <w:rPr>
          <w:rFonts w:ascii="PT Astra Serif" w:hAnsi="PT Astra Serif"/>
          <w:sz w:val="28"/>
          <w:szCs w:val="28"/>
        </w:rPr>
        <w:t>.</w:t>
      </w:r>
      <w:proofErr w:type="spellStart"/>
      <w:r w:rsidR="00CC45A1" w:rsidRPr="00C23BDC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CC45A1">
        <w:rPr>
          <w:rFonts w:ascii="PT Astra Serif" w:hAnsi="PT Astra Serif"/>
          <w:sz w:val="28"/>
          <w:szCs w:val="28"/>
        </w:rPr>
        <w:t>»</w:t>
      </w:r>
      <w:r w:rsidR="00CC45A1" w:rsidRPr="00CC45A1">
        <w:rPr>
          <w:rFonts w:ascii="PT Astra Serif" w:hAnsi="PT Astra Serif"/>
          <w:sz w:val="28"/>
          <w:szCs w:val="28"/>
        </w:rPr>
        <w:t>.</w:t>
      </w:r>
    </w:p>
    <w:p w:rsidR="005C4A10" w:rsidRPr="00C23BDC" w:rsidRDefault="005C4A10" w:rsidP="005C4A10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23BDC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</w:t>
      </w:r>
      <w:r w:rsidR="00CC45A1">
        <w:rPr>
          <w:rFonts w:ascii="PT Astra Serif" w:hAnsi="PT Astra Serif"/>
          <w:sz w:val="28"/>
          <w:szCs w:val="28"/>
        </w:rPr>
        <w:t>сетев</w:t>
      </w:r>
      <w:r w:rsidRPr="00C23BDC">
        <w:rPr>
          <w:rFonts w:ascii="PT Astra Serif" w:hAnsi="PT Astra Serif"/>
          <w:sz w:val="28"/>
          <w:szCs w:val="28"/>
        </w:rPr>
        <w:t>ом издании города Югорска и разместить на официальном сайте органов местного самоуправления.</w:t>
      </w:r>
    </w:p>
    <w:p w:rsidR="005C4A10" w:rsidRPr="00C23BDC" w:rsidRDefault="005C4A10" w:rsidP="005C4A1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23BDC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F61EBC" w:rsidRPr="00763D72" w:rsidRDefault="00F61EBC" w:rsidP="005C4A10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652210">
        <w:rPr>
          <w:rFonts w:ascii="PT Astra Serif" w:eastAsia="Calibri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E53A3" wp14:editId="082B83DD">
                <wp:simplePos x="0" y="0"/>
                <wp:positionH relativeFrom="column">
                  <wp:posOffset>1871980</wp:posOffset>
                </wp:positionH>
                <wp:positionV relativeFrom="paragraph">
                  <wp:posOffset>47625</wp:posOffset>
                </wp:positionV>
                <wp:extent cx="3114675" cy="12477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1247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7.4pt;margin-top:3.75pt;width:245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af2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4670"/>
        <w:gridCol w:w="1795"/>
      </w:tblGrid>
      <w:tr w:rsidR="00652210" w:rsidRPr="00652210" w:rsidTr="008D18BC">
        <w:trPr>
          <w:trHeight w:val="1671"/>
        </w:trPr>
        <w:tc>
          <w:tcPr>
            <w:tcW w:w="3314" w:type="dxa"/>
          </w:tcPr>
          <w:p w:rsidR="00652210" w:rsidRPr="00652210" w:rsidRDefault="00652210" w:rsidP="00652210">
            <w:pPr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4670" w:type="dxa"/>
            <w:vAlign w:val="center"/>
          </w:tcPr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6E5B47" wp14:editId="0CB069C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ДОКУМЕНТ ПОДПИСАН</w:t>
            </w:r>
          </w:p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 ЭЛЕКТРОННОЙ ПОДПИСЬЮ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Сертификат  [Номер сертификата 1]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Владелец [Владелец сертификата 1]</w:t>
            </w:r>
          </w:p>
          <w:p w:rsidR="00652210" w:rsidRPr="00652210" w:rsidRDefault="00652210" w:rsidP="00652210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Действителен с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ДатаС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 по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ДатаПо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</w:t>
            </w:r>
          </w:p>
        </w:tc>
        <w:tc>
          <w:tcPr>
            <w:tcW w:w="1795" w:type="dxa"/>
          </w:tcPr>
          <w:p w:rsidR="00652210" w:rsidRPr="00652210" w:rsidRDefault="00652210" w:rsidP="00652210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600F0D" w:rsidRDefault="00A44F85" w:rsidP="00652210">
      <w:pPr>
        <w:widowControl w:val="0"/>
        <w:tabs>
          <w:tab w:val="left" w:pos="1211"/>
        </w:tabs>
        <w:jc w:val="both"/>
        <w:rPr>
          <w:rFonts w:ascii="PT Astra Serif" w:hAnsi="PT Astra Serif"/>
          <w:b/>
          <w:bCs/>
          <w:kern w:val="1"/>
          <w:sz w:val="28"/>
          <w:szCs w:val="28"/>
        </w:rPr>
      </w:pPr>
    </w:p>
    <w:sectPr w:rsidR="00A44F85" w:rsidRPr="00600F0D" w:rsidSect="003234D9">
      <w:pgSz w:w="11906" w:h="16838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EE" w:rsidRDefault="000E4DEE" w:rsidP="003C5141">
      <w:r>
        <w:separator/>
      </w:r>
    </w:p>
  </w:endnote>
  <w:endnote w:type="continuationSeparator" w:id="0">
    <w:p w:rsidR="000E4DEE" w:rsidRDefault="000E4DE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EE" w:rsidRDefault="000E4DEE" w:rsidP="003C5141">
      <w:r>
        <w:separator/>
      </w:r>
    </w:p>
  </w:footnote>
  <w:footnote w:type="continuationSeparator" w:id="0">
    <w:p w:rsidR="000E4DEE" w:rsidRDefault="000E4DEE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63B2D"/>
    <w:rsid w:val="000713DF"/>
    <w:rsid w:val="00092C69"/>
    <w:rsid w:val="00095F9F"/>
    <w:rsid w:val="000A0E8D"/>
    <w:rsid w:val="000C0F5A"/>
    <w:rsid w:val="000C2EA5"/>
    <w:rsid w:val="000C69F4"/>
    <w:rsid w:val="000E4DEE"/>
    <w:rsid w:val="000F72CC"/>
    <w:rsid w:val="00100B35"/>
    <w:rsid w:val="0010401B"/>
    <w:rsid w:val="001257C7"/>
    <w:rsid w:val="00130628"/>
    <w:rsid w:val="001347D7"/>
    <w:rsid w:val="001356EA"/>
    <w:rsid w:val="00140D6B"/>
    <w:rsid w:val="0018017D"/>
    <w:rsid w:val="00184ECA"/>
    <w:rsid w:val="001B0CE2"/>
    <w:rsid w:val="001D4C73"/>
    <w:rsid w:val="001E71AE"/>
    <w:rsid w:val="0021641A"/>
    <w:rsid w:val="00224E69"/>
    <w:rsid w:val="00256A87"/>
    <w:rsid w:val="00270E35"/>
    <w:rsid w:val="00271EA8"/>
    <w:rsid w:val="00285C61"/>
    <w:rsid w:val="00294019"/>
    <w:rsid w:val="00296E8C"/>
    <w:rsid w:val="002F5129"/>
    <w:rsid w:val="003234D9"/>
    <w:rsid w:val="00324057"/>
    <w:rsid w:val="003642AD"/>
    <w:rsid w:val="0037056B"/>
    <w:rsid w:val="003C5141"/>
    <w:rsid w:val="003D688F"/>
    <w:rsid w:val="00423003"/>
    <w:rsid w:val="0043241B"/>
    <w:rsid w:val="0043378A"/>
    <w:rsid w:val="004508EC"/>
    <w:rsid w:val="00463862"/>
    <w:rsid w:val="004B0DBB"/>
    <w:rsid w:val="004C6A75"/>
    <w:rsid w:val="004F0E54"/>
    <w:rsid w:val="004F2B21"/>
    <w:rsid w:val="00510950"/>
    <w:rsid w:val="0053339B"/>
    <w:rsid w:val="005371D9"/>
    <w:rsid w:val="005836E3"/>
    <w:rsid w:val="00583827"/>
    <w:rsid w:val="005C4A10"/>
    <w:rsid w:val="00600F0D"/>
    <w:rsid w:val="00624190"/>
    <w:rsid w:val="006249B7"/>
    <w:rsid w:val="0064256C"/>
    <w:rsid w:val="00652210"/>
    <w:rsid w:val="0065328E"/>
    <w:rsid w:val="006668F6"/>
    <w:rsid w:val="006A0528"/>
    <w:rsid w:val="006B3FA0"/>
    <w:rsid w:val="006B5E54"/>
    <w:rsid w:val="006D2144"/>
    <w:rsid w:val="006E00AC"/>
    <w:rsid w:val="006F6444"/>
    <w:rsid w:val="00713C1C"/>
    <w:rsid w:val="007268A4"/>
    <w:rsid w:val="00750AD5"/>
    <w:rsid w:val="00763D72"/>
    <w:rsid w:val="00795FE2"/>
    <w:rsid w:val="007B3A3F"/>
    <w:rsid w:val="007D5A8E"/>
    <w:rsid w:val="007E29A5"/>
    <w:rsid w:val="007F2EA0"/>
    <w:rsid w:val="007F4A15"/>
    <w:rsid w:val="00810153"/>
    <w:rsid w:val="008267F4"/>
    <w:rsid w:val="00831CAC"/>
    <w:rsid w:val="008478F4"/>
    <w:rsid w:val="00886003"/>
    <w:rsid w:val="008A6747"/>
    <w:rsid w:val="008C407D"/>
    <w:rsid w:val="008C746F"/>
    <w:rsid w:val="00906884"/>
    <w:rsid w:val="00914417"/>
    <w:rsid w:val="00953E9C"/>
    <w:rsid w:val="00962278"/>
    <w:rsid w:val="00963A29"/>
    <w:rsid w:val="0097026B"/>
    <w:rsid w:val="00980B76"/>
    <w:rsid w:val="009C4E86"/>
    <w:rsid w:val="009D383F"/>
    <w:rsid w:val="009F7184"/>
    <w:rsid w:val="00A33E61"/>
    <w:rsid w:val="00A44F85"/>
    <w:rsid w:val="00A471A4"/>
    <w:rsid w:val="00A75B48"/>
    <w:rsid w:val="00A80552"/>
    <w:rsid w:val="00AB09E1"/>
    <w:rsid w:val="00AD29B5"/>
    <w:rsid w:val="00AD77E7"/>
    <w:rsid w:val="00AF75FC"/>
    <w:rsid w:val="00B14AF7"/>
    <w:rsid w:val="00B3610D"/>
    <w:rsid w:val="00B753EC"/>
    <w:rsid w:val="00B76781"/>
    <w:rsid w:val="00B91EF8"/>
    <w:rsid w:val="00BB1DB6"/>
    <w:rsid w:val="00BB206B"/>
    <w:rsid w:val="00BD7EE5"/>
    <w:rsid w:val="00BE1CAB"/>
    <w:rsid w:val="00BE7D55"/>
    <w:rsid w:val="00BF5172"/>
    <w:rsid w:val="00C26832"/>
    <w:rsid w:val="00C35A6D"/>
    <w:rsid w:val="00C5306C"/>
    <w:rsid w:val="00C55A58"/>
    <w:rsid w:val="00C66D4E"/>
    <w:rsid w:val="00C80508"/>
    <w:rsid w:val="00CA40FA"/>
    <w:rsid w:val="00CC45A1"/>
    <w:rsid w:val="00CE2A5A"/>
    <w:rsid w:val="00CE3958"/>
    <w:rsid w:val="00D01A38"/>
    <w:rsid w:val="00D3103C"/>
    <w:rsid w:val="00D4659F"/>
    <w:rsid w:val="00D52934"/>
    <w:rsid w:val="00D56803"/>
    <w:rsid w:val="00D6114D"/>
    <w:rsid w:val="00D6571C"/>
    <w:rsid w:val="00D74015"/>
    <w:rsid w:val="00D777A0"/>
    <w:rsid w:val="00DD3187"/>
    <w:rsid w:val="00E13D6B"/>
    <w:rsid w:val="00E27AB4"/>
    <w:rsid w:val="00E672CE"/>
    <w:rsid w:val="00E864FB"/>
    <w:rsid w:val="00E91200"/>
    <w:rsid w:val="00EB7695"/>
    <w:rsid w:val="00EC794D"/>
    <w:rsid w:val="00ED117A"/>
    <w:rsid w:val="00EF19B1"/>
    <w:rsid w:val="00F33869"/>
    <w:rsid w:val="00F52A75"/>
    <w:rsid w:val="00F61EBC"/>
    <w:rsid w:val="00F639D4"/>
    <w:rsid w:val="00F6410F"/>
    <w:rsid w:val="00F930E6"/>
    <w:rsid w:val="00FA242F"/>
    <w:rsid w:val="00FA2C7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C45A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C45A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content\act\ad76ef48-efd8-4527-b7b7-acff10b2dd8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Боровой Михаил Михайлович</cp:lastModifiedBy>
  <cp:revision>2</cp:revision>
  <cp:lastPrinted>2023-12-14T06:21:00Z</cp:lastPrinted>
  <dcterms:created xsi:type="dcterms:W3CDTF">2024-06-18T09:24:00Z</dcterms:created>
  <dcterms:modified xsi:type="dcterms:W3CDTF">2024-06-18T09:24:00Z</dcterms:modified>
</cp:coreProperties>
</file>